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FF38C" w14:textId="20B4716D" w:rsidR="00EC7300" w:rsidRPr="00854762" w:rsidRDefault="00BE40BA" w:rsidP="00854762">
      <w:pPr>
        <w:pStyle w:val="Ttulo1"/>
        <w:jc w:val="center"/>
        <w:rPr>
          <w:rFonts w:cstheme="majorHAnsi"/>
          <w:color w:val="000000" w:themeColor="text1"/>
          <w:lang w:val="es-CO"/>
        </w:rPr>
      </w:pPr>
      <w:r w:rsidRPr="00854762">
        <w:rPr>
          <w:rFonts w:cstheme="majorHAnsi"/>
          <w:color w:val="000000" w:themeColor="text1"/>
          <w:lang w:val="es-CO"/>
        </w:rPr>
        <w:t>Informe Ejecutivo – Caracterización socioeconómica</w:t>
      </w:r>
      <w:r w:rsidRPr="00854762">
        <w:rPr>
          <w:rFonts w:cstheme="majorHAnsi"/>
          <w:color w:val="000000" w:themeColor="text1"/>
          <w:lang w:val="es-CO"/>
        </w:rPr>
        <w:br/>
        <w:t xml:space="preserve">Diálogos en Frontera – </w:t>
      </w:r>
      <w:r w:rsidR="00D0267E">
        <w:rPr>
          <w:rFonts w:cstheme="majorHAnsi"/>
          <w:color w:val="000000" w:themeColor="text1"/>
          <w:lang w:val="es-CO"/>
        </w:rPr>
        <w:t xml:space="preserve"> Interes en Formación para la recualificación </w:t>
      </w:r>
      <w:r w:rsidRPr="00854762">
        <w:rPr>
          <w:rFonts w:cstheme="majorHAnsi"/>
          <w:color w:val="000000" w:themeColor="text1"/>
          <w:lang w:val="es-CO"/>
        </w:rPr>
        <w:t>Departamento de Nariño</w:t>
      </w:r>
    </w:p>
    <w:p w14:paraId="1C89F8C1" w14:textId="77777777" w:rsidR="00BE40BA" w:rsidRPr="00854762" w:rsidRDefault="00BE40BA" w:rsidP="00854762">
      <w:pPr>
        <w:jc w:val="both"/>
        <w:rPr>
          <w:rFonts w:asciiTheme="majorHAnsi" w:hAnsiTheme="majorHAnsi" w:cstheme="majorHAnsi"/>
          <w:lang w:val="es-CO"/>
        </w:rPr>
      </w:pPr>
    </w:p>
    <w:p w14:paraId="2DDDC31C" w14:textId="77777777" w:rsidR="00D0267E" w:rsidRPr="006112E5" w:rsidRDefault="00D0267E" w:rsidP="00D0267E">
      <w:pPr>
        <w:jc w:val="both"/>
        <w:rPr>
          <w:rFonts w:asciiTheme="majorHAnsi" w:hAnsiTheme="majorHAnsi" w:cstheme="majorHAnsi"/>
          <w:color w:val="BFBFBF" w:themeColor="background1" w:themeShade="BF"/>
          <w:lang w:val="es-CO"/>
        </w:rPr>
      </w:pPr>
    </w:p>
    <w:p w14:paraId="22CDDCE6" w14:textId="6326F691" w:rsidR="00BE40BA" w:rsidRPr="00D0267E" w:rsidRDefault="00D0267E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>
        <w:rPr>
          <w:rFonts w:asciiTheme="majorHAnsi" w:hAnsiTheme="majorHAnsi" w:cstheme="majorHAnsi"/>
          <w:color w:val="BFBFBF" w:themeColor="background1" w:themeShade="BF"/>
          <w:lang w:val="es-CO"/>
        </w:rPr>
        <w:t xml:space="preserve">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Octubre 31 </w:t>
      </w:r>
      <w:r w:rsidRPr="00D0267E">
        <w:rPr>
          <w:rFonts w:asciiTheme="majorHAnsi" w:hAnsiTheme="majorHAnsi" w:cstheme="majorHAnsi"/>
          <w:bCs/>
          <w:color w:val="000000" w:themeColor="text1"/>
          <w:sz w:val="24"/>
          <w:szCs w:val="24"/>
          <w:lang w:val="es-CO"/>
        </w:rPr>
        <w:t xml:space="preserve">  </w:t>
      </w:r>
      <w:r w:rsidR="00BE40BA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C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ë</w:t>
      </w:r>
      <w:r w:rsidR="00BE40BA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sar Augusto Rubio</w:t>
      </w:r>
    </w:p>
    <w:p w14:paraId="39D07F12" w14:textId="383D4502" w:rsidR="00CB290D" w:rsidRPr="00D0267E" w:rsidRDefault="00BE40BA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Propósito. Presentar los resultados de la caracterización realizada</w:t>
      </w:r>
      <w:r w:rsidR="00CB290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,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a población activa y potencialmente activa vinculada a la comercialización informal de combustible en zona de frontera del departamento de Nariño</w:t>
      </w:r>
      <w:r w:rsidR="00CB290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; hasta la fecha.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La información se recolectó mediante formulario en Microsoft Forms aplicado a</w:t>
      </w:r>
      <w:r w:rsidR="00CB290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la población de los territories.</w:t>
      </w:r>
    </w:p>
    <w:p w14:paraId="0F36F468" w14:textId="77777777" w:rsidR="00EC7300" w:rsidRPr="00D0267E" w:rsidRDefault="00BE40BA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Cobertura de la caracterización</w:t>
      </w:r>
    </w:p>
    <w:p w14:paraId="10E89928" w14:textId="33860A13" w:rsidR="00CB290D" w:rsidRPr="00D0267E" w:rsidRDefault="00BE40BA" w:rsidP="00D0267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Total de registros válidos: 1</w:t>
      </w:r>
      <w:r w:rsidR="006112E5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710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.</w:t>
      </w:r>
    </w:p>
    <w:p w14:paraId="761DA095" w14:textId="0C00AC8F" w:rsidR="00EC7300" w:rsidRPr="00D0267E" w:rsidRDefault="00BE40BA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Principales hallazgos</w:t>
      </w:r>
    </w:p>
    <w:p w14:paraId="10669E4A" w14:textId="77777777" w:rsidR="0063779B" w:rsidRPr="00D0267E" w:rsidRDefault="00BE40BA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• Distribución por género</w:t>
      </w:r>
      <w:r w:rsidR="00CB290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: </w:t>
      </w:r>
    </w:p>
    <w:p w14:paraId="7F6071B0" w14:textId="6502613E" w:rsidR="0063779B" w:rsidRPr="00D0267E" w:rsidRDefault="00BE40BA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Femenino: 1</w:t>
      </w:r>
      <w:r w:rsidR="00DB639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132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(6</w:t>
      </w:r>
      <w:r w:rsidR="0077334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6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%);</w:t>
      </w:r>
      <w:r w:rsidR="0063779B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)  177 mujeres </w:t>
      </w:r>
      <w:r w:rsidR="00304D9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el 15, 63 % de mujeres</w:t>
      </w:r>
      <w:r w:rsidR="00FE6EFA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encuestadas </w:t>
      </w:r>
      <w:r w:rsidR="0063779B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se dedican a la venta informal de gasolina  119 </w:t>
      </w:r>
      <w:r w:rsidR="00FE6EFA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( 67 %) </w:t>
      </w:r>
      <w:r w:rsidR="0063779B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de esta mujeres viven en zonas rurales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</w:t>
      </w:r>
    </w:p>
    <w:p w14:paraId="69A67740" w14:textId="2BB8CE2C" w:rsidR="00EC7300" w:rsidRPr="00D0267E" w:rsidRDefault="00BE40BA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Masculino: </w:t>
      </w:r>
      <w:r w:rsidR="00DB639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578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(3</w:t>
      </w:r>
      <w:r w:rsidR="0077334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4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%)</w:t>
      </w:r>
      <w:r w:rsidR="0063779B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.   92 hombres</w:t>
      </w:r>
      <w:r w:rsidR="00FE6EFA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</w:t>
      </w:r>
      <w:r w:rsidR="00304D9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el 15, 91 % de hombres </w:t>
      </w:r>
      <w:r w:rsidR="00FE6EFA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encuestados</w:t>
      </w:r>
      <w:r w:rsidR="0063779B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se dedican a la venta informal de gasolina 78</w:t>
      </w:r>
      <w:r w:rsidR="00FE6EFA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( 84%)</w:t>
      </w:r>
      <w:r w:rsidR="0063779B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de estos hombres viven en </w:t>
      </w:r>
      <w:r w:rsidR="00FE6EFA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zonas rurales. </w:t>
      </w:r>
    </w:p>
    <w:p w14:paraId="3239CDA8" w14:textId="77777777" w:rsidR="00EC7300" w:rsidRPr="00D0267E" w:rsidRDefault="00BE40BA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• Edad promedio 46.3 años y mediana 44.0 años.</w:t>
      </w:r>
    </w:p>
    <w:p w14:paraId="6E938616" w14:textId="25D82E8B" w:rsidR="00EC7300" w:rsidRPr="00D0267E" w:rsidRDefault="00BE40BA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• Nivel educativo más frecuente: Primaria: </w:t>
      </w:r>
      <w:r w:rsidR="00DB639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851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(49%); Bachiderato: 4</w:t>
      </w:r>
      <w:r w:rsidR="00DB639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95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(29%); Técnico: </w:t>
      </w:r>
      <w:r w:rsidR="00DB639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140 (8%)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); </w:t>
      </w:r>
      <w:r w:rsidR="00DB639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Tecnólogo : 47  (3%) ; Profesional: 94 (5%).;Posgrado 16 ( 1%);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Ninguno: 7</w:t>
      </w:r>
      <w:r w:rsidR="00DB639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9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(</w:t>
      </w:r>
      <w:r w:rsidR="00DB639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5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%)</w:t>
      </w:r>
    </w:p>
    <w:p w14:paraId="717E6143" w14:textId="2FD5FBE2" w:rsidR="00DB639D" w:rsidRPr="00D0267E" w:rsidRDefault="00DB639D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• 1368  personas  el 79 % de personas encuestadas son cabezas de hogar </w:t>
      </w:r>
    </w:p>
    <w:p w14:paraId="3F2CE2BF" w14:textId="29191A61" w:rsidR="00D36B22" w:rsidRPr="00D0267E" w:rsidRDefault="00D36B22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• Zona de residencia: Rural 1311  personas, 76 % de la población encuestada vive en áreas rurales, mientras que Urbano 411  personas el 24 % dela población encuestada vive en áreas urbanas. </w:t>
      </w:r>
    </w:p>
    <w:p w14:paraId="1040EAF8" w14:textId="33967621" w:rsidR="00EC7300" w:rsidRPr="00D0267E" w:rsidRDefault="00BE40BA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• Aproximadamente el 1</w:t>
      </w:r>
      <w:r w:rsidR="008F12E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6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.0%</w:t>
      </w:r>
      <w:r w:rsidR="008F12E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, 269 personas encuestadas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reporta dedicación directa/relacionada con la comercialización informal de combustible (estimación basada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lastRenderedPageBreak/>
        <w:t>en respuestas textuales).</w:t>
      </w:r>
      <w:r w:rsidR="008F12E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Mientras que el 84 %  1453 personas, no reportan dedicarse a la venta informal de gasolina o combustibles líquidos</w:t>
      </w:r>
    </w:p>
    <w:p w14:paraId="2582D3A8" w14:textId="5D4135F6" w:rsidR="00EC7300" w:rsidRPr="00D0267E" w:rsidRDefault="00BE40BA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• Interés en procesos de formación: Sí: </w:t>
      </w:r>
      <w:r w:rsidR="008F12E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1681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(9</w:t>
      </w:r>
      <w:r w:rsidR="008F12ED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8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%); No: 41 (2%).</w:t>
      </w:r>
    </w:p>
    <w:p w14:paraId="29BFFCDA" w14:textId="094D2391" w:rsidR="008F12ED" w:rsidRPr="00D0267E" w:rsidRDefault="008F12ED" w:rsidP="00854762">
      <w:pPr>
        <w:pStyle w:val="Prrafodelista"/>
        <w:numPr>
          <w:ilvl w:val="0"/>
          <w:numId w:val="11"/>
        </w:num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Areas de interes : </w:t>
      </w:r>
    </w:p>
    <w:p w14:paraId="47473822" w14:textId="04591156" w:rsidR="008F12ED" w:rsidRPr="00D0267E" w:rsidRDefault="008F12ED" w:rsidP="00854762">
      <w:pPr>
        <w:pStyle w:val="Prrafodelista"/>
        <w:numPr>
          <w:ilvl w:val="0"/>
          <w:numId w:val="12"/>
        </w:num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Agricultura o producción rural 667 (39 %); Construcción y oficios afines 42 ( 2%); Manejo de maquinaria o transporte 66 (4 %); Artesanías o producción manual 266 (15 %); Servicios personales y de cuidado (belleza, cocina, limpieza, salud) 222 ( 13%); Comercio y ventas 369 (21%);  Otras 90( 5%);</w:t>
      </w:r>
    </w:p>
    <w:p w14:paraId="7B9B61F1" w14:textId="77777777" w:rsidR="00CB290D" w:rsidRPr="00D0267E" w:rsidRDefault="00CB290D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</w:p>
    <w:p w14:paraId="12D71BE5" w14:textId="03CEE724" w:rsidR="00EC7300" w:rsidRPr="00D0267E" w:rsidRDefault="00BE40BA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Análisis</w:t>
      </w:r>
      <w:r w:rsidR="00D0267E"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 xml:space="preserve"> sobre las variables que permiten generar un cruce para hallazgos  útiles en cuento a la </w:t>
      </w:r>
      <w:r w:rsidR="00D0267E"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 xml:space="preserve"> Formación para la recualificación</w:t>
      </w:r>
    </w:p>
    <w:p w14:paraId="2639D651" w14:textId="6D4BB0C5" w:rsidR="00D36B22" w:rsidRPr="00D0267E" w:rsidRDefault="00E56C13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An</w:t>
      </w:r>
      <w:r w:rsidR="00AA26B6"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álisis de la c</w:t>
      </w:r>
      <w:r w:rsidR="00D36B22"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 xml:space="preserve">omposición </w:t>
      </w:r>
      <w:r w:rsidR="00AA26B6"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d</w:t>
      </w:r>
      <w:r w:rsidR="00D36B22"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emográfica</w:t>
      </w:r>
    </w:p>
    <w:p w14:paraId="13DFB739" w14:textId="4B79C9C4" w:rsidR="00D36B22" w:rsidRPr="00D0267E" w:rsidRDefault="00D36B22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La</w:t>
      </w:r>
      <w:r w:rsidR="00AA26B6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s personas que participaron de la encuesta representan una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muestra</w:t>
      </w:r>
      <w:r w:rsidR="00AA26B6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poblacional que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presenta una clara mayoría femenina con un 66% (1.132 personas), frente a un 34% masculino (578 personas). Esto sugiere un papel central de las mujeres en la dinámica social, económica y familiar de los municipios encuestados. Es posible que esta diferencia esté relacionada con el rol activo de las mujeres en programas comunitarios y de desarrollo local.</w:t>
      </w:r>
    </w:p>
    <w:p w14:paraId="0884B85D" w14:textId="74709069" w:rsidR="00D36B22" w:rsidRPr="00D0267E" w:rsidRDefault="00D36B22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Estructura por Edad</w:t>
      </w:r>
    </w:p>
    <w:p w14:paraId="66A1732B" w14:textId="6ACEF768" w:rsidR="00D36B22" w:rsidRPr="00D0267E" w:rsidRDefault="00D36B22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La edad promedio de la población encuestada es de 46</w:t>
      </w:r>
      <w:r w:rsidR="00E735E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años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. Esta distribución </w:t>
      </w:r>
      <w:r w:rsidR="00AA26B6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nos sugiere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una población adulta y madura, </w:t>
      </w:r>
      <w:r w:rsidR="00AA26B6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en donde se da u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n bajo nivel de participación juvenil</w:t>
      </w:r>
      <w:r w:rsidR="00AA26B6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</w:t>
      </w:r>
      <w:r w:rsidR="00E735E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en </w:t>
      </w:r>
      <w:r w:rsidR="00AA26B6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la encuesta</w:t>
      </w:r>
      <w:r w:rsidR="00E735E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,</w:t>
      </w:r>
      <w:r w:rsidR="00AA26B6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pero</w:t>
      </w:r>
      <w:r w:rsidR="00E735E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se pude suponer por los datos y las observaciones, que </w:t>
      </w:r>
      <w:r w:rsidR="00AA26B6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también de la práctica de venta informal de gasolina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.</w:t>
      </w:r>
      <w:r w:rsidR="00E735E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.</w:t>
      </w:r>
    </w:p>
    <w:p w14:paraId="5ACC18FA" w14:textId="6AAAA488" w:rsidR="00D36B22" w:rsidRPr="00D0267E" w:rsidRDefault="00D36B22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Nivel Educativo</w:t>
      </w:r>
      <w:r w:rsidR="00D01223"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 xml:space="preserve"> promedio</w:t>
      </w:r>
    </w:p>
    <w:p w14:paraId="62E71F49" w14:textId="3D221407" w:rsidR="00D36B22" w:rsidRPr="00D0267E" w:rsidRDefault="00416A01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Tras el</w:t>
      </w:r>
      <w:r w:rsidR="00AA26B6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resultado de la muestra realizada en los municipios </w:t>
      </w:r>
      <w:r w:rsidR="00067BCF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en donde se desarrolló el trabajo de campo y el acercamiento institucional y comunitario,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el nivel educativo promedio</w:t>
      </w:r>
      <w:r w:rsidR="00D36B2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es la educación primaria</w:t>
      </w:r>
      <w:r w:rsidR="00067BCF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con un </w:t>
      </w:r>
      <w:r w:rsidR="00D36B2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49%</w:t>
      </w:r>
      <w:r w:rsidR="00067BCF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de la población encuestada</w:t>
      </w:r>
      <w:r w:rsidR="00D36B2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, seguido de bachillerato</w:t>
      </w:r>
      <w:r w:rsidR="00067BCF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con un</w:t>
      </w:r>
      <w:r w:rsidR="00D36B2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29% y técnico 8</w:t>
      </w:r>
      <w:r w:rsidR="00067BCF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%</w:t>
      </w:r>
      <w:r w:rsidR="00D36B2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. </w:t>
      </w:r>
      <w:r w:rsidR="00067BCF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Tan s</w:t>
      </w:r>
      <w:r w:rsidR="00D36B2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olo un 9%</w:t>
      </w:r>
      <w:r w:rsidR="00067BCF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de lapoblación encuestada</w:t>
      </w:r>
      <w:r w:rsidR="00D36B2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alcanza niveles tecnológicos, profesionales o de posgrado. E</w:t>
      </w:r>
      <w:r w:rsidR="00067BCF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l análisis de las diferencias en los niveles</w:t>
      </w:r>
      <w:r w:rsidR="00D36B2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educativ</w:t>
      </w:r>
      <w:r w:rsidR="00067BCF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os</w:t>
      </w:r>
      <w:r w:rsidR="00D36B2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evidencia limitaciones </w:t>
      </w:r>
      <w:r w:rsidR="00067BCF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historicas y </w:t>
      </w:r>
      <w:r w:rsidR="00D36B2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estructurales en el acceso a la educación formal, especialmente en áreas rurales, y plantea la necesidad de estrategias formativas adaptadas a las condiciones</w:t>
      </w:r>
      <w:r w:rsidR="00067BCF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de las poblaciones y comunidades </w:t>
      </w:r>
      <w:r w:rsidR="00D36B2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locales y con metodologías prácticas</w:t>
      </w:r>
      <w:r w:rsidR="00067BCF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que estén acordes a sus intereses, posibilidades y capacidades. </w:t>
      </w:r>
    </w:p>
    <w:p w14:paraId="36C60C23" w14:textId="095EA850" w:rsidR="00D36B22" w:rsidRPr="00D0267E" w:rsidRDefault="00D36B22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lastRenderedPageBreak/>
        <w:t xml:space="preserve">Zona de </w:t>
      </w:r>
      <w:r w:rsidR="00416A01"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 xml:space="preserve"> ubicación r</w:t>
      </w: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esidencia</w:t>
      </w:r>
      <w:r w:rsidR="00416A01"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l</w:t>
      </w:r>
    </w:p>
    <w:p w14:paraId="69B3DF65" w14:textId="449E999D" w:rsidR="00D36B22" w:rsidRPr="00D0267E" w:rsidRDefault="00D36B22" w:rsidP="00D0267E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La encuesta muestra una marcada</w:t>
      </w:r>
      <w:r w:rsidR="00416A01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ubicación de la población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</w:t>
      </w:r>
      <w:r w:rsidR="00416A01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en las zonas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rural</w:t>
      </w:r>
      <w:r w:rsidR="00416A01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es de los municipios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: el 76% vive en zonas rurales (1.311 personas) y el 24% en zonas urbanas (411 personas). Esto </w:t>
      </w:r>
      <w:r w:rsidR="00416A01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evidencia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un contexto </w:t>
      </w:r>
      <w:r w:rsidR="00416A01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general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de baja conectividad, dependencia del sector agropecuario </w:t>
      </w:r>
      <w:r w:rsidR="00416A01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frente a lo laboral y económico,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limitaciones en el acceso a servicios</w:t>
      </w:r>
      <w:r w:rsidR="00416A01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y por supuesto la limitación al acceso a la gasolina  y a EDS formalizadas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. </w:t>
      </w:r>
      <w:r w:rsidR="00416A01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Se propone que los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proceso</w:t>
      </w:r>
      <w:r w:rsidR="00416A01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s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de intervención </w:t>
      </w:r>
      <w:r w:rsidR="00416A01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se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adapt</w:t>
      </w:r>
      <w:r w:rsidR="00416A01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en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a las dinámicas rurales</w:t>
      </w:r>
      <w:r w:rsidR="00416A01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propias de los municipios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y prom</w:t>
      </w:r>
      <w:r w:rsidR="00416A01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uevan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la descentralización de oportunidades</w:t>
      </w:r>
      <w:r w:rsidR="00416A01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para las comunidades ubicadas en zonas rurales o de dificil acceso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.</w:t>
      </w:r>
    </w:p>
    <w:p w14:paraId="348E090C" w14:textId="2D362AA7" w:rsidR="00D36B22" w:rsidRPr="00D0267E" w:rsidRDefault="00D36B22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Interés en Procesos de Formación</w:t>
      </w:r>
    </w:p>
    <w:p w14:paraId="47FDE5A7" w14:textId="5067F864" w:rsidR="00D36B22" w:rsidRPr="00D0267E" w:rsidRDefault="00D36B22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El interés en</w:t>
      </w:r>
      <w:r w:rsidR="00D01223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procesos de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formación </w:t>
      </w:r>
      <w:r w:rsidR="00D01223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y recualificación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es ampliamente mayoritario: el 98% de las personas encuestadas (1.681) expresó disposición a participar en procesos formativos. Esto representa una oportunidad estratégica para el fortalecimiento de capacidades locales, siempre que las metodologías sean pertinentes, prácticas y adaptadas al contexto</w:t>
      </w:r>
      <w:r w:rsidR="00D01223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poblacional y municipal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.</w:t>
      </w:r>
    </w:p>
    <w:p w14:paraId="72601EC4" w14:textId="77777777" w:rsidR="00D36B22" w:rsidRPr="00D0267E" w:rsidRDefault="00D36B22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8. Áreas de Interés Formativo</w:t>
      </w:r>
    </w:p>
    <w:p w14:paraId="6C894301" w14:textId="1E1BFE0E" w:rsidR="00D36B22" w:rsidRPr="00D0267E" w:rsidRDefault="00D36B22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Las áreas de mayor interés</w:t>
      </w:r>
      <w:r w:rsidR="00D01223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frente a la fomación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son la </w:t>
      </w:r>
      <w:r w:rsidR="00D01223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producción agrícola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(39%), el comercio y ventas (21%), las artesanías (15%) y los servicios personales (13%). Estos resultados confirman la vocación económica rural</w:t>
      </w:r>
      <w:r w:rsidR="00D01223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,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y </w:t>
      </w:r>
      <w:r w:rsidR="00D01223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también,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el potencial de desarrollo </w:t>
      </w:r>
      <w:r w:rsidR="00D01223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por medio de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</w:t>
      </w:r>
      <w:r w:rsidR="00D01223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asociatividades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productivas locales. Asimismo, muestran oportunidades en microemprendimiento</w:t>
      </w:r>
      <w:r w:rsidR="00D01223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s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y valor agregado</w:t>
      </w:r>
      <w:r w:rsidR="00D01223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a la cultura y el turísmo de los municipios.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</w:t>
      </w:r>
    </w:p>
    <w:p w14:paraId="68DC7CAA" w14:textId="6BD4F700" w:rsidR="00D36B22" w:rsidRPr="00D0267E" w:rsidRDefault="00D01223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 xml:space="preserve">9. </w:t>
      </w:r>
      <w:r w:rsidR="004305A3"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 xml:space="preserve">Análisis </w:t>
      </w:r>
      <w:r w:rsidR="00D36B22"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 xml:space="preserve"> General</w:t>
      </w:r>
    </w:p>
    <w:p w14:paraId="6DA776F9" w14:textId="1C1CF211" w:rsidR="00D36B22" w:rsidRPr="00D0267E" w:rsidRDefault="00D36B22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En </w:t>
      </w:r>
      <w:r w:rsidR="00D01223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su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conjunto, la encuesta refleja una población predominantemente rural, femenina, adulta y con bajo nivel educativo formal, pero con una alta motivación hacia el aprendizaje y la mejora de sus condiciones de vida. El contexto rural define desafíos estructurales de empleo, acceso a la educación y formalización económica. Se recomienda que los programas de intervención incorporen enfoques de género, formación práctica y fortalecimiento de la economía solidaria y comunitaria</w:t>
      </w:r>
      <w:r w:rsidR="00D01223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rural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.</w:t>
      </w:r>
    </w:p>
    <w:p w14:paraId="5F66147A" w14:textId="77777777" w:rsidR="00CB290D" w:rsidRPr="00D0267E" w:rsidRDefault="00CB290D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</w:p>
    <w:p w14:paraId="5C0852E5" w14:textId="24B211D2" w:rsidR="00BE40BA" w:rsidRPr="00D0267E" w:rsidRDefault="00BE40BA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bookmarkStart w:id="0" w:name="_GoBack"/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Recomendaciones</w:t>
      </w:r>
      <w:r w:rsid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 xml:space="preserve"> para las estrategias de reconversión </w:t>
      </w:r>
    </w:p>
    <w:bookmarkEnd w:id="0"/>
    <w:p w14:paraId="173EB0D9" w14:textId="5B13381E" w:rsidR="004305A3" w:rsidRPr="00D0267E" w:rsidRDefault="004305A3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</w:p>
    <w:p w14:paraId="7E9BCCD4" w14:textId="2E1BA8BE" w:rsidR="004305A3" w:rsidRPr="00D0267E" w:rsidRDefault="004305A3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Est</w:t>
      </w:r>
      <w:r w:rsidR="0085476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a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propuesta de recomendaciones para la rec</w:t>
      </w:r>
      <w:r w:rsidR="0085476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u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alificación y reconversión laboral de las poblaciones encuestadas en ocho municipios de Nariño, Colombia</w:t>
      </w:r>
      <w:r w:rsidR="0085476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( Gualmatan, Cumbal, Aldana, Puerres, San Pablo, El Contadero, La Unión y la Cruz)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. Las sugerencias se </w:t>
      </w:r>
      <w:r w:rsidR="0085476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basan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en el análisis socioeconómico realizado,</w:t>
      </w:r>
      <w:r w:rsidR="0085476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producto de las encuestas desarrolladas,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lastRenderedPageBreak/>
        <w:t>considerando la estructura demográfica, educativa y ocupacional de la población, con el fin de orientar acciones sostenibles, inclu</w:t>
      </w:r>
      <w:r w:rsidR="0085476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yente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s y pertinentes </w:t>
      </w:r>
      <w:r w:rsidR="0085476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en los contextos territoriales particulares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.</w:t>
      </w:r>
    </w:p>
    <w:p w14:paraId="3A0DD7ED" w14:textId="77777777" w:rsidR="004305A3" w:rsidRPr="00D0267E" w:rsidRDefault="004305A3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1. Enfoque territorial y diferencial</w:t>
      </w:r>
    </w:p>
    <w:p w14:paraId="40218321" w14:textId="16CA90A6" w:rsidR="004305A3" w:rsidRPr="00D0267E" w:rsidRDefault="004305A3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Dado que el 76% de la población vive en áreas rurales y el 66% son mujeres, se recomienda implementar modelos formativos descentralizados e itinerantes, adaptados a contextos rurales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,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con enfoque de género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y étnico en los municipios que así se requiera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. Los programas 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y proyectos futuros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deben reconocer los saberes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y conocimientos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locales, promover la economía del cuidado y fortalecer el rol de las mujeres como agentes de desarrollo económico y social.</w:t>
      </w:r>
    </w:p>
    <w:p w14:paraId="4D3E5851" w14:textId="77777777" w:rsidR="004305A3" w:rsidRPr="00D0267E" w:rsidRDefault="004305A3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2.  Programas de formación por competencias prácticas</w:t>
      </w:r>
    </w:p>
    <w:p w14:paraId="6BCEF410" w14:textId="6F6CB5DB" w:rsidR="004305A3" w:rsidRPr="00D0267E" w:rsidRDefault="004305A3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Debido al bajo nivel educativo formal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de la población encuestada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, se sugiere estructurar programas formativos cortos y 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por módulos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, centrados en la práctica y con certificación por competencias. 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Teniendo en cuenta las características poblacionales, l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as metodologías 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educativas y de aprendizaje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deben 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enfocarse en lo práctico, en donde se pueda  “aprender haciendo”. Esta formación podría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complementarse con alfabetización digital y fortalecimiento de habilidades básicas.</w:t>
      </w:r>
      <w:r w:rsidR="00612A4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 Cada proceso de formación debe acompañarse de componentes psicosociales y de fortalecimiento del tejido comunitario. Se debe promover el liderazgo femenino y juvenil, reconociendo la cultura local como un activo del desarrollo territorial.</w:t>
      </w:r>
      <w:r w:rsidR="00854762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Implementando ciclos de formación modular y certificable (SENA/ETDH) orientados a competencias demandadas en la región (logística, mantenimiento, oficios técnicos, comercio legal, servicios).</w:t>
      </w:r>
    </w:p>
    <w:p w14:paraId="4C4F17E3" w14:textId="77777777" w:rsidR="004305A3" w:rsidRPr="00D0267E" w:rsidRDefault="004305A3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3.  Fortalecimiento de las cadenas agroproductivas</w:t>
      </w:r>
    </w:p>
    <w:p w14:paraId="11544FA3" w14:textId="0195737B" w:rsidR="004305A3" w:rsidRPr="00D0267E" w:rsidRDefault="004305A3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El 39% de los encuestados manifestó 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tener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interés 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o desarrollar prácticas laborales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en 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la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agricultura y 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la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producción rural</w:t>
      </w:r>
      <w:r w:rsidR="00612A4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agropecuaria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. 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Por este motivo, s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e propone </w:t>
      </w:r>
      <w:r w:rsidR="00612A4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plantear y consolidar a futuro, 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procesos de formación</w:t>
      </w:r>
      <w:r w:rsidR="00612A4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, transformación e innovación 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rural, así como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fortalecer </w:t>
      </w:r>
      <w:r w:rsidR="00612A4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o generar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l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os canales </w:t>
      </w:r>
      <w:r w:rsidR="00612A4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adecuados y permanentes </w:t>
      </w:r>
      <w:r w:rsidR="00E06668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para la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comercialización directa</w:t>
      </w:r>
      <w:r w:rsidR="00612A4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de los productos del agro en los municipios de Zonas de frontera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. </w:t>
      </w:r>
      <w:r w:rsidR="00612A4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Es posible contemplar  a futuro plantear y desarrollar 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estrategias de sostenibilidad ambiental</w:t>
      </w:r>
      <w:r w:rsidR="00612A4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y de inversión verde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.</w:t>
      </w:r>
    </w:p>
    <w:p w14:paraId="136254E5" w14:textId="77777777" w:rsidR="004305A3" w:rsidRPr="00D0267E" w:rsidRDefault="004305A3" w:rsidP="00854762">
      <w:pPr>
        <w:pStyle w:val="Ttulo2"/>
        <w:jc w:val="both"/>
        <w:rPr>
          <w:rFonts w:cstheme="majorHAnsi"/>
          <w:b w:val="0"/>
          <w:color w:val="000000" w:themeColor="text1"/>
          <w:sz w:val="24"/>
          <w:szCs w:val="24"/>
          <w:lang w:val="es-CO"/>
        </w:rPr>
      </w:pPr>
      <w:r w:rsidRPr="00D0267E">
        <w:rPr>
          <w:rFonts w:cstheme="majorHAnsi"/>
          <w:b w:val="0"/>
          <w:color w:val="000000" w:themeColor="text1"/>
          <w:sz w:val="24"/>
          <w:szCs w:val="24"/>
          <w:lang w:val="es-CO"/>
        </w:rPr>
        <w:t>4.  Desarrollo de capacidades en comercio, servicios y emprendimiento local</w:t>
      </w:r>
    </w:p>
    <w:p w14:paraId="16B16CC7" w14:textId="2A30E214" w:rsidR="00854762" w:rsidRPr="00D0267E" w:rsidRDefault="004305A3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Con un 21% interesado en comercio y ventas, y un 28% en servicios personales y artesanías, se recomienda impulsar programas de emprendimiento solidario, microempresa rural y redes de mujeres emprendedoras. La capacitación debe abordar marketing, atención al cliente y uso de herramientas digitales para vent</w:t>
      </w:r>
      <w:r w:rsidR="00612A4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as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 local</w:t>
      </w:r>
      <w:r w:rsidR="00612A4E"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>es</w:t>
      </w:r>
      <w:r w:rsidRPr="00D0267E"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  <w:t xml:space="preserve">. </w:t>
      </w:r>
    </w:p>
    <w:p w14:paraId="1913CC90" w14:textId="14A05271" w:rsidR="004305A3" w:rsidRPr="00D0267E" w:rsidRDefault="004305A3" w:rsidP="00854762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es-CO"/>
        </w:rPr>
      </w:pPr>
    </w:p>
    <w:p w14:paraId="1D1CED0E" w14:textId="77777777" w:rsidR="00854762" w:rsidRPr="00854762" w:rsidRDefault="00854762" w:rsidP="00854762">
      <w:pPr>
        <w:jc w:val="both"/>
        <w:rPr>
          <w:rFonts w:asciiTheme="majorHAnsi" w:hAnsiTheme="majorHAnsi" w:cstheme="majorHAnsi"/>
          <w:lang w:val="es-CO"/>
        </w:rPr>
      </w:pPr>
    </w:p>
    <w:p w14:paraId="26F30BE8" w14:textId="77777777" w:rsidR="00CD4B7D" w:rsidRPr="00854762" w:rsidRDefault="00CD4B7D" w:rsidP="00854762">
      <w:pPr>
        <w:jc w:val="both"/>
        <w:rPr>
          <w:rFonts w:asciiTheme="majorHAnsi" w:hAnsiTheme="majorHAnsi" w:cstheme="majorHAnsi"/>
          <w:lang w:val="es-CO"/>
        </w:rPr>
      </w:pPr>
    </w:p>
    <w:p w14:paraId="16FE7ABD" w14:textId="028C5619" w:rsidR="00CD4B7D" w:rsidRPr="00854762" w:rsidRDefault="00CD4B7D" w:rsidP="00854762">
      <w:pPr>
        <w:jc w:val="both"/>
        <w:rPr>
          <w:rFonts w:asciiTheme="majorHAnsi" w:hAnsiTheme="majorHAnsi" w:cstheme="majorHAnsi"/>
          <w:lang w:val="es-CO"/>
        </w:rPr>
      </w:pPr>
    </w:p>
    <w:p w14:paraId="0B5CB516" w14:textId="77777777" w:rsidR="004305A3" w:rsidRPr="00854762" w:rsidRDefault="004305A3" w:rsidP="00854762">
      <w:pPr>
        <w:jc w:val="both"/>
        <w:rPr>
          <w:rFonts w:asciiTheme="majorHAnsi" w:hAnsiTheme="majorHAnsi" w:cstheme="majorHAnsi"/>
          <w:lang w:val="es-CO"/>
        </w:rPr>
      </w:pPr>
    </w:p>
    <w:sectPr w:rsidR="004305A3" w:rsidRPr="0085476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D632403"/>
    <w:multiLevelType w:val="hybridMultilevel"/>
    <w:tmpl w:val="5248199E"/>
    <w:lvl w:ilvl="0" w:tplc="B802A79A">
      <w:start w:val="1505"/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91795"/>
    <w:multiLevelType w:val="hybridMultilevel"/>
    <w:tmpl w:val="B6148D4A"/>
    <w:lvl w:ilvl="0" w:tplc="E6D04476">
      <w:start w:val="1505"/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596F0D"/>
    <w:multiLevelType w:val="hybridMultilevel"/>
    <w:tmpl w:val="C5247AD4"/>
    <w:lvl w:ilvl="0" w:tplc="48E02D78">
      <w:start w:val="150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7F81"/>
    <w:rsid w:val="00034616"/>
    <w:rsid w:val="0006063C"/>
    <w:rsid w:val="00067BCF"/>
    <w:rsid w:val="00092DC2"/>
    <w:rsid w:val="00121A91"/>
    <w:rsid w:val="0015074B"/>
    <w:rsid w:val="001E68FC"/>
    <w:rsid w:val="0029639D"/>
    <w:rsid w:val="00304D92"/>
    <w:rsid w:val="00326F90"/>
    <w:rsid w:val="00416A01"/>
    <w:rsid w:val="004305A3"/>
    <w:rsid w:val="004A2EE1"/>
    <w:rsid w:val="006112E5"/>
    <w:rsid w:val="00612A4E"/>
    <w:rsid w:val="0063779B"/>
    <w:rsid w:val="0077334D"/>
    <w:rsid w:val="007D49CB"/>
    <w:rsid w:val="00854762"/>
    <w:rsid w:val="0085711C"/>
    <w:rsid w:val="008F12ED"/>
    <w:rsid w:val="009362A6"/>
    <w:rsid w:val="00985400"/>
    <w:rsid w:val="009A0B7D"/>
    <w:rsid w:val="009A13BF"/>
    <w:rsid w:val="00AA1D8D"/>
    <w:rsid w:val="00AA26B6"/>
    <w:rsid w:val="00B47730"/>
    <w:rsid w:val="00B61311"/>
    <w:rsid w:val="00BE40BA"/>
    <w:rsid w:val="00CB0664"/>
    <w:rsid w:val="00CB290D"/>
    <w:rsid w:val="00CD4B7D"/>
    <w:rsid w:val="00D01223"/>
    <w:rsid w:val="00D0267E"/>
    <w:rsid w:val="00D36292"/>
    <w:rsid w:val="00D36B22"/>
    <w:rsid w:val="00D67F18"/>
    <w:rsid w:val="00DB639D"/>
    <w:rsid w:val="00DD75B5"/>
    <w:rsid w:val="00E06668"/>
    <w:rsid w:val="00E56C13"/>
    <w:rsid w:val="00E735EE"/>
    <w:rsid w:val="00EC7300"/>
    <w:rsid w:val="00FC693F"/>
    <w:rsid w:val="00FE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FEA5290"/>
  <w14:defaultImageDpi w14:val="300"/>
  <w15:docId w15:val="{D910C10B-7425-45B5-B159-950DE8EB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31BF534-5B2A-0B49-BFF7-04B624F76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1384</Words>
  <Characters>7618</Characters>
  <Application>Microsoft Office Word</Application>
  <DocSecurity>0</DocSecurity>
  <Lines>63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2</cp:revision>
  <dcterms:created xsi:type="dcterms:W3CDTF">2025-11-14T18:24:00Z</dcterms:created>
  <dcterms:modified xsi:type="dcterms:W3CDTF">2025-11-14T18:24:00Z</dcterms:modified>
  <cp:category/>
</cp:coreProperties>
</file>